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3" w:rsidRDefault="007F3BFD">
      <w:pPr>
        <w:spacing w:after="150"/>
      </w:pPr>
      <w:proofErr w:type="gramStart"/>
      <w:r>
        <w:rPr>
          <w:color w:val="000000"/>
        </w:rPr>
        <w:t>На основу члана 15.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Закона о евиденцијама и обради података у области унутрашњих послова („Службени гласник РС”, број 24/18),</w:t>
      </w:r>
    </w:p>
    <w:p w:rsidR="000E0BD3" w:rsidRDefault="007F3BFD">
      <w:pPr>
        <w:spacing w:after="150"/>
      </w:pPr>
      <w:r>
        <w:rPr>
          <w:color w:val="000000"/>
        </w:rPr>
        <w:t xml:space="preserve">Министар </w:t>
      </w:r>
      <w:r>
        <w:rPr>
          <w:color w:val="000000"/>
        </w:rPr>
        <w:t>унутрашњих послова доноси</w:t>
      </w:r>
    </w:p>
    <w:p w:rsidR="000E0BD3" w:rsidRDefault="007F3BFD">
      <w:pPr>
        <w:spacing w:after="225"/>
        <w:jc w:val="center"/>
      </w:pPr>
      <w:r>
        <w:rPr>
          <w:b/>
          <w:color w:val="000000"/>
        </w:rPr>
        <w:t>ПРАВИЛНИК</w:t>
      </w:r>
    </w:p>
    <w:p w:rsidR="000E0BD3" w:rsidRDefault="007F3BFD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>
        <w:rPr>
          <w:b/>
          <w:color w:val="000000"/>
        </w:rPr>
        <w:t xml:space="preserve"> методологији рада и начину приступа подацима и заштите националног система ТЕТРА, система мобилних радио комуникација и критичне инфраструктуре</w:t>
      </w:r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"Службени гласник РС", број 55 од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августа</w:t>
      </w:r>
      <w:proofErr w:type="gramEnd"/>
      <w:r>
        <w:rPr>
          <w:color w:val="000000"/>
        </w:rPr>
        <w:t xml:space="preserve"> 2019.</w:t>
      </w:r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Овим правилнико</w:t>
      </w:r>
      <w:r>
        <w:rPr>
          <w:color w:val="000000"/>
        </w:rPr>
        <w:t>м ближе се прописују методологија рада и начин приступа подацима и заштите националног система ТЕТРА, система мобилних радио комуникација и критичне инфраструктуре.</w:t>
      </w:r>
      <w:proofErr w:type="gramEnd"/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0E0BD3" w:rsidRDefault="007F3BFD">
      <w:pPr>
        <w:spacing w:after="150"/>
      </w:pPr>
      <w:r>
        <w:rPr>
          <w:color w:val="000000"/>
        </w:rPr>
        <w:t>Под методологијом рада подразумева се начин управљања, планирања и коришћења систем</w:t>
      </w:r>
      <w:r>
        <w:rPr>
          <w:color w:val="000000"/>
        </w:rPr>
        <w:t>а заштићених мобилних радио комуникација (радио комуникација у оквиру које се обавља групни позив, индивидуални позив, хитни позив, диспечер – позив према свима, пренос видео садржаја, пренос текстуалних података, пренос података, радио комуникација и пове</w:t>
      </w:r>
      <w:r>
        <w:rPr>
          <w:color w:val="000000"/>
        </w:rPr>
        <w:t>зивање са фиксном и мобилном телефонијом, ГПС позиционирање радио терминала, online упити из евиденција података у оквиру јединственог информационог система) и одбрана од ометања у том систему, као и план расподеле говорних група, позивних знакова корисниц</w:t>
      </w:r>
      <w:r>
        <w:rPr>
          <w:color w:val="000000"/>
        </w:rPr>
        <w:t>има ТЕТРА система и ЛТЕ широкопојасне мреже тако да оне раде независно једна од друге.</w:t>
      </w:r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Национална широкопојаснa мобилнa мрежa омогућава овлашћеним корисницима да преко радио терминала, а путем наменских апликација приступе одређеним базама података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 коришћење мобилних терминала могу се користити важећи сертификати МУП-а.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За комуникацију између кор мреже и базних станица може се користити систем специјалних веза.</w:t>
      </w:r>
      <w:proofErr w:type="gramEnd"/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Организациона јединица министарства надлежна за радио комуникације обезбеђује</w:t>
      </w:r>
      <w:r>
        <w:rPr>
          <w:color w:val="000000"/>
        </w:rPr>
        <w:t xml:space="preserve"> неопходне услове и предузима мере за несметано функционисање и заштиту мобилних радио система.</w:t>
      </w:r>
      <w:proofErr w:type="gramEnd"/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Радио терминал се користи за остваривање радио комуникације у редовним и ванредним ситуацијама.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lastRenderedPageBreak/>
        <w:t>Радио терминал је електромеханички уређај (радио уређај)</w:t>
      </w:r>
      <w:r>
        <w:rPr>
          <w:color w:val="000000"/>
        </w:rPr>
        <w:t xml:space="preserve"> који служи за пренос информација, говора и података.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Радио емисиони уређај је предајник који ради на прописаним фреквенцијама.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Радиоемисиони уређаји су базне станице и репетитори.</w:t>
      </w:r>
      <w:proofErr w:type="gramEnd"/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Евидентирање радио комуникације која се обавља коришћењем радио тер</w:t>
      </w:r>
      <w:r>
        <w:rPr>
          <w:color w:val="000000"/>
        </w:rPr>
        <w:t>минала врши се регистрофоном.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Комуникација остварена у мобилном радио систему евидентира се у системски журнал.</w:t>
      </w:r>
      <w:proofErr w:type="gramEnd"/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Критичну инфраструктуру чине сви радиоемисиони и телекомуникациони уређаји неопходни за непрекидан рад радио терминалних уређаја.</w:t>
      </w:r>
      <w:proofErr w:type="gramEnd"/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8</w:t>
      </w:r>
      <w:r>
        <w:rPr>
          <w:color w:val="000000"/>
        </w:rPr>
        <w:t>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Приступ системском журналу одобрава се запосленима у организационој јединици надлежној за надзор над системом радио комуникација и администраторима система.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Одобрење и именовање одговорног лица за приступ даје руководилац организационе јединице надлежне </w:t>
      </w:r>
      <w:r>
        <w:rPr>
          <w:color w:val="000000"/>
        </w:rPr>
        <w:t>за надзор радио комуникација.</w:t>
      </w:r>
      <w:proofErr w:type="gramEnd"/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0E0BD3" w:rsidRDefault="007F3BFD">
      <w:pPr>
        <w:spacing w:after="150"/>
      </w:pPr>
      <w:r>
        <w:rPr>
          <w:color w:val="000000"/>
        </w:rPr>
        <w:t>Администраторима система се одобравају различити нивои приступа и то: претрага остварене комуникације и пренос (преузимање) података из остварене комуникације.</w:t>
      </w:r>
    </w:p>
    <w:p w:rsidR="000E0BD3" w:rsidRDefault="007F3BFD">
      <w:pPr>
        <w:spacing w:after="150"/>
      </w:pPr>
      <w:proofErr w:type="gramStart"/>
      <w:r>
        <w:rPr>
          <w:color w:val="000000"/>
        </w:rPr>
        <w:t>Најнижи ниво приступа одобрава се запосленима на пословима</w:t>
      </w:r>
      <w:r>
        <w:rPr>
          <w:color w:val="000000"/>
        </w:rPr>
        <w:t xml:space="preserve"> дежурства, чија је улога контрола исправности тетра дигиталног радио система и широкопојасне мреже без могућности претраге и преноса података остварене комуникације.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На образложен захтев руководиоца организационе јединице, администратори врше претрагу и п</w:t>
      </w:r>
      <w:r>
        <w:rPr>
          <w:color w:val="000000"/>
        </w:rPr>
        <w:t>ренос података из остварене комуникације и о томе воде посебну евиденцију.</w:t>
      </w:r>
      <w:proofErr w:type="gramEnd"/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Приступ систему за снимање тонских записа и видео садржаја мобилних радио система одобрава се запосленима у надлежној организационој јединици за радио комуникације према ни</w:t>
      </w:r>
      <w:r>
        <w:rPr>
          <w:color w:val="000000"/>
        </w:rPr>
        <w:t>воима приступа.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Администратор система креира кориснички налог и приступне шифре по нивоима приступа.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lastRenderedPageBreak/>
        <w:t>Приступна шифра се саопштава запосленом уз обавезу да одобрену приступну шифру самостално промени и заштити је од злоупотребе.</w:t>
      </w:r>
      <w:proofErr w:type="gramEnd"/>
    </w:p>
    <w:p w:rsidR="000E0BD3" w:rsidRDefault="007F3BFD">
      <w:pPr>
        <w:spacing w:after="150"/>
      </w:pPr>
      <w:r>
        <w:rPr>
          <w:color w:val="000000"/>
        </w:rPr>
        <w:t xml:space="preserve">Нивое приступа опредељује и </w:t>
      </w:r>
      <w:r>
        <w:rPr>
          <w:color w:val="000000"/>
        </w:rPr>
        <w:t>одређује руководилац организационе јединице</w:t>
      </w:r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0E0BD3" w:rsidRDefault="007F3BFD">
      <w:pPr>
        <w:spacing w:after="150"/>
      </w:pPr>
      <w:r>
        <w:rPr>
          <w:color w:val="000000"/>
        </w:rPr>
        <w:t>Мобилни радио системи су национални системи чији је администратор Министарство унутрашњих послова, а који осим Министарства унутрашњих послова, користе Влада, Војска Србије, Војнобезбедносна агенција, Во</w:t>
      </w:r>
      <w:r>
        <w:rPr>
          <w:color w:val="000000"/>
        </w:rPr>
        <w:t>јнообавештајна агенција, Безбедносно информативна агенција, Министарство спољних послова, Министарство здравља, Министарство правде, Министарство енергетике, Министарство одбране, Комунална милиција, Електропривреда Србије, Електромрежа Србије, Путеви Срби</w:t>
      </w:r>
      <w:r>
        <w:rPr>
          <w:color w:val="000000"/>
        </w:rPr>
        <w:t>је.</w:t>
      </w:r>
    </w:p>
    <w:p w:rsidR="000E0BD3" w:rsidRDefault="007F3BFD">
      <w:pPr>
        <w:spacing w:after="150"/>
      </w:pPr>
      <w:proofErr w:type="gramStart"/>
      <w:r>
        <w:rPr>
          <w:color w:val="000000"/>
        </w:rPr>
        <w:t>У ванредним ситуацијама и другим околностима од значаја за рад служби безбедности као корисници система могу се појавити и други привредни субјекти од виталног значаја за функционисање државе.</w:t>
      </w:r>
      <w:proofErr w:type="gramEnd"/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 xml:space="preserve">Евидентирање комуникације других корисника </w:t>
      </w:r>
      <w:r>
        <w:rPr>
          <w:color w:val="000000"/>
        </w:rPr>
        <w:t>разврстава се на говорне групе.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Архивирање оствареног видео садржаја врши се уз помоћ радио терминала мобилне широкопојасне мреже.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 xml:space="preserve">Обрада података који су прикупљени преко оствареног аудио саобраћаја и видео садржаја у име корисника мобилног радио система </w:t>
      </w:r>
      <w:r>
        <w:rPr>
          <w:color w:val="000000"/>
        </w:rPr>
        <w:t>из члана 10.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обавља</w:t>
      </w:r>
      <w:proofErr w:type="gramEnd"/>
      <w:r>
        <w:rPr>
          <w:color w:val="000000"/>
        </w:rPr>
        <w:t xml:space="preserve"> се у складу са одредбама закона којим је прописана заштита података о личности.</w:t>
      </w:r>
    </w:p>
    <w:p w:rsidR="000E0BD3" w:rsidRDefault="007F3BFD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0E0BD3" w:rsidRDefault="007F3BFD">
      <w:pPr>
        <w:spacing w:after="150"/>
      </w:pPr>
      <w:proofErr w:type="gramStart"/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  <w:proofErr w:type="gramEnd"/>
    </w:p>
    <w:p w:rsidR="000E0BD3" w:rsidRDefault="007F3BFD">
      <w:pPr>
        <w:spacing w:after="150"/>
        <w:jc w:val="right"/>
      </w:pPr>
      <w:r>
        <w:rPr>
          <w:color w:val="000000"/>
        </w:rPr>
        <w:t>Број 01-1104/19-24</w:t>
      </w:r>
    </w:p>
    <w:p w:rsidR="000E0BD3" w:rsidRDefault="007F3BFD">
      <w:pPr>
        <w:spacing w:after="150"/>
        <w:jc w:val="right"/>
      </w:pPr>
      <w:proofErr w:type="gramStart"/>
      <w:r>
        <w:rPr>
          <w:color w:val="000000"/>
        </w:rPr>
        <w:t>У Београду, 24.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2019.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године</w:t>
      </w:r>
      <w:proofErr w:type="gramEnd"/>
    </w:p>
    <w:p w:rsidR="000E0BD3" w:rsidRDefault="007F3BFD">
      <w:pPr>
        <w:spacing w:after="150"/>
        <w:jc w:val="right"/>
      </w:pPr>
      <w:r>
        <w:rPr>
          <w:color w:val="000000"/>
        </w:rPr>
        <w:t>Министар,</w:t>
      </w:r>
    </w:p>
    <w:p w:rsidR="000E0BD3" w:rsidRDefault="007F3BFD">
      <w:pPr>
        <w:spacing w:after="150"/>
        <w:jc w:val="right"/>
      </w:pP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Небојша Стефановић,</w:t>
      </w:r>
      <w:r>
        <w:rPr>
          <w:color w:val="000000"/>
        </w:rPr>
        <w:t xml:space="preserve"> с.р.</w:t>
      </w:r>
    </w:p>
    <w:sectPr w:rsidR="000E0BD3" w:rsidSect="000E0B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E0BD3"/>
    <w:rsid w:val="000E0BD3"/>
    <w:rsid w:val="007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E0B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E0B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ivukovic</cp:lastModifiedBy>
  <cp:revision>2</cp:revision>
  <dcterms:created xsi:type="dcterms:W3CDTF">2019-11-29T10:43:00Z</dcterms:created>
  <dcterms:modified xsi:type="dcterms:W3CDTF">2019-11-29T10:43:00Z</dcterms:modified>
</cp:coreProperties>
</file>