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D0A" w:rsidRDefault="00CC3089" w:rsidP="00CE0D60">
      <w:pPr>
        <w:spacing w:after="150"/>
        <w:jc w:val="right"/>
      </w:pPr>
      <w:r>
        <w:rPr>
          <w:b/>
          <w:color w:val="000000"/>
        </w:rPr>
        <w:t>Редакцијски пречишћен текст</w:t>
      </w:r>
    </w:p>
    <w:p w:rsidR="00DB1D0A" w:rsidRDefault="00CC3089">
      <w:pPr>
        <w:spacing w:after="150"/>
      </w:pPr>
      <w:r>
        <w:rPr>
          <w:color w:val="000000"/>
        </w:rPr>
        <w:t> </w:t>
      </w:r>
    </w:p>
    <w:p w:rsidR="00DB1D0A" w:rsidRDefault="00CC3089">
      <w:pPr>
        <w:spacing w:after="150"/>
      </w:pPr>
      <w:r>
        <w:rPr>
          <w:color w:val="000000"/>
        </w:rPr>
        <w:t>На основу члана 230в став 5. Закона о полицији („Службени гласник РС”, бр. 6/16 и 24/18),</w:t>
      </w:r>
    </w:p>
    <w:p w:rsidR="00DB1D0A" w:rsidRDefault="00CC3089">
      <w:pPr>
        <w:spacing w:after="150"/>
      </w:pPr>
      <w:r>
        <w:rPr>
          <w:color w:val="000000"/>
        </w:rPr>
        <w:t xml:space="preserve">Министар унутрашњих </w:t>
      </w:r>
      <w:r>
        <w:rPr>
          <w:color w:val="000000"/>
        </w:rPr>
        <w:t>послова доноси</w:t>
      </w:r>
    </w:p>
    <w:p w:rsidR="00DB1D0A" w:rsidRDefault="00CC3089">
      <w:pPr>
        <w:spacing w:after="225"/>
        <w:jc w:val="center"/>
      </w:pPr>
      <w:r>
        <w:rPr>
          <w:b/>
          <w:color w:val="000000"/>
        </w:rPr>
        <w:t>ПРАВИЛНИК</w:t>
      </w:r>
    </w:p>
    <w:p w:rsidR="00DB1D0A" w:rsidRDefault="00CC3089">
      <w:pPr>
        <w:spacing w:after="225"/>
        <w:jc w:val="center"/>
      </w:pPr>
      <w:r>
        <w:rPr>
          <w:b/>
          <w:color w:val="000000"/>
        </w:rPr>
        <w:t>o начину контроле пријаве и промене имовног стања у Министарству унутрашњих послова</w:t>
      </w:r>
    </w:p>
    <w:p w:rsidR="00DB1D0A" w:rsidRDefault="00CC3089">
      <w:pPr>
        <w:spacing w:after="150"/>
        <w:jc w:val="center"/>
      </w:pPr>
      <w:r>
        <w:rPr>
          <w:color w:val="000000"/>
        </w:rPr>
        <w:t>"Службени гласник РС", бр. 49 од 27. јуна 2018, 14 од 21. фебруара 2020.</w:t>
      </w:r>
    </w:p>
    <w:p w:rsidR="00DB1D0A" w:rsidRDefault="00CC3089">
      <w:pPr>
        <w:spacing w:after="120"/>
        <w:jc w:val="center"/>
      </w:pPr>
      <w:r>
        <w:rPr>
          <w:color w:val="000000"/>
        </w:rPr>
        <w:t>Члан 1.</w:t>
      </w:r>
    </w:p>
    <w:p w:rsidR="00DB1D0A" w:rsidRDefault="00CC3089">
      <w:pPr>
        <w:spacing w:after="150"/>
      </w:pPr>
      <w:r>
        <w:rPr>
          <w:color w:val="000000"/>
        </w:rPr>
        <w:t>Овим правилником прописује се начин вршења контроле пријаве имовно</w:t>
      </w:r>
      <w:r>
        <w:rPr>
          <w:color w:val="000000"/>
        </w:rPr>
        <w:t>г стања и промене имовног стања (у даљем тексту: контрола) запослених у Министарству унутрашњих послова, које се евидентирају у личном имовинском картону.</w:t>
      </w:r>
    </w:p>
    <w:p w:rsidR="00DB1D0A" w:rsidRDefault="00CC3089">
      <w:pPr>
        <w:spacing w:after="120"/>
        <w:jc w:val="center"/>
      </w:pPr>
      <w:r>
        <w:rPr>
          <w:color w:val="000000"/>
        </w:rPr>
        <w:t>Члан 2.</w:t>
      </w:r>
    </w:p>
    <w:p w:rsidR="00DB1D0A" w:rsidRDefault="00CC3089">
      <w:pPr>
        <w:spacing w:after="150"/>
      </w:pPr>
      <w:r>
        <w:rPr>
          <w:color w:val="000000"/>
        </w:rPr>
        <w:t xml:space="preserve">Евиденцију личних имовинских картона за запослене у Министарству (у даљем тексту: запослени) </w:t>
      </w:r>
      <w:r>
        <w:rPr>
          <w:color w:val="000000"/>
        </w:rPr>
        <w:t>води Сектор унутрашње контроле (у даљем тексту: Сектор) на основу законa којим се уређују евиденције и обрада података у области унутрашњих послова, а према подацима наведеним у обрасцу имовинског картона.</w:t>
      </w:r>
    </w:p>
    <w:p w:rsidR="00DB1D0A" w:rsidRDefault="00CC3089">
      <w:pPr>
        <w:spacing w:after="150"/>
      </w:pPr>
      <w:r>
        <w:rPr>
          <w:color w:val="000000"/>
        </w:rPr>
        <w:t xml:space="preserve">Образац имовинског картoна одштампан је у прилогу </w:t>
      </w:r>
      <w:r>
        <w:rPr>
          <w:color w:val="000000"/>
        </w:rPr>
        <w:t>овог правилника и чини његов саставни део.</w:t>
      </w:r>
    </w:p>
    <w:p w:rsidR="00DB1D0A" w:rsidRDefault="00CC3089">
      <w:pPr>
        <w:spacing w:after="150"/>
      </w:pPr>
      <w:r>
        <w:rPr>
          <w:color w:val="000000"/>
        </w:rPr>
        <w:t xml:space="preserve">Образац имовинског картoна запослени попуњава у електронском облику доступном на званичном </w:t>
      </w:r>
      <w:r>
        <w:rPr>
          <w:b/>
          <w:color w:val="000000"/>
        </w:rPr>
        <w:t>интранет</w:t>
      </w:r>
      <w:r>
        <w:rPr>
          <w:rFonts w:ascii="Calibri"/>
          <w:b/>
          <w:color w:val="000000"/>
          <w:vertAlign w:val="superscript"/>
        </w:rPr>
        <w:t>*</w:t>
      </w:r>
      <w:r>
        <w:rPr>
          <w:color w:val="000000"/>
        </w:rPr>
        <w:t xml:space="preserve"> сајту Министарства, најкасније у року од 30 дана од настанка обавезе, као и у аналогном облику, који, у том року</w:t>
      </w:r>
      <w:r>
        <w:rPr>
          <w:color w:val="000000"/>
        </w:rPr>
        <w:t>, доставља Сектору непосредно или препорученом пошиљком.</w:t>
      </w:r>
    </w:p>
    <w:p w:rsidR="00DB1D0A" w:rsidRDefault="00CC3089">
      <w:pPr>
        <w:spacing w:after="150"/>
      </w:pPr>
      <w:r>
        <w:rPr>
          <w:color w:val="000000"/>
        </w:rPr>
        <w:t>Изузетно од ст. 1–3. овог члана, евиденција личних имовинских картона и подаци о пријави имовног стања за руководиоце (стратешког, високог, средњег и оперативног нивоа) и за запослене на високоризичн</w:t>
      </w:r>
      <w:r>
        <w:rPr>
          <w:color w:val="000000"/>
        </w:rPr>
        <w:t>им радним местима утврђеним анализом ризика од корупције, који имају обавезу да по основу свог положаја, статуса или радног места пријаве имовину Агенцији за борбу против корупције, воде се по основу преузимања података од тог државног органа.</w:t>
      </w:r>
    </w:p>
    <w:p w:rsidR="00DB1D0A" w:rsidRDefault="00CC3089">
      <w:pPr>
        <w:spacing w:after="150"/>
      </w:pPr>
      <w:r>
        <w:rPr>
          <w:color w:val="000000"/>
        </w:rPr>
        <w:t>Начин пријав</w:t>
      </w:r>
      <w:r>
        <w:rPr>
          <w:color w:val="000000"/>
        </w:rPr>
        <w:t>е имовног стања, односно попуњавања обрасца имовинског картона, као и пријављивање промена имовног стања чија вредност прелази износ годишње просечне зараде без пореза и доприноса у Републици Србији обезбеђује се коришћењем одговарајућег програма (софтверс</w:t>
      </w:r>
      <w:r>
        <w:rPr>
          <w:color w:val="000000"/>
        </w:rPr>
        <w:t xml:space="preserve">ког решења) – </w:t>
      </w:r>
      <w:r>
        <w:rPr>
          <w:color w:val="000000"/>
        </w:rPr>
        <w:lastRenderedPageBreak/>
        <w:t>уподобљеног програму који је у употреби у Агенцији за борбу против корупције.</w:t>
      </w:r>
    </w:p>
    <w:p w:rsidR="00DB1D0A" w:rsidRDefault="00CC3089">
      <w:pPr>
        <w:spacing w:after="150"/>
      </w:pPr>
      <w:r>
        <w:rPr>
          <w:color w:val="000000"/>
        </w:rPr>
        <w:t>*Службени гласник РС, број 14/2020</w:t>
      </w:r>
    </w:p>
    <w:p w:rsidR="00DB1D0A" w:rsidRDefault="00CC3089">
      <w:pPr>
        <w:spacing w:after="120"/>
        <w:jc w:val="center"/>
      </w:pPr>
      <w:r>
        <w:rPr>
          <w:color w:val="000000"/>
        </w:rPr>
        <w:t>Члан 3.</w:t>
      </w:r>
    </w:p>
    <w:p w:rsidR="00DB1D0A" w:rsidRDefault="00CC3089">
      <w:pPr>
        <w:spacing w:after="150"/>
      </w:pPr>
      <w:r>
        <w:rPr>
          <w:color w:val="000000"/>
        </w:rPr>
        <w:t>Контрола пријаве имовног стања отпочиње у року од 30 дана од дана ступања на радно место на којем запослени има обавезу п</w:t>
      </w:r>
      <w:r>
        <w:rPr>
          <w:color w:val="000000"/>
        </w:rPr>
        <w:t>ријављивања имовног стања, на основу обавештавања Сектора и запосленог од стране организационе јединице Министарства надлежне за људске ресурсе да је запослени ступио на рад на таквом радном месту, а обезбеђује се попуњавањем прописаног обрасца и преузимањ</w:t>
      </w:r>
      <w:r>
        <w:rPr>
          <w:color w:val="000000"/>
        </w:rPr>
        <w:t>ем података из службених евиденција.</w:t>
      </w:r>
    </w:p>
    <w:p w:rsidR="00DB1D0A" w:rsidRDefault="00CC3089">
      <w:pPr>
        <w:spacing w:after="150"/>
      </w:pPr>
      <w:r>
        <w:rPr>
          <w:color w:val="000000"/>
        </w:rPr>
        <w:t>Редовну контролу Сектор врши на основу плана редовне годишње контроле за одређен број запослених и категорије запослених, који на образложени предлог руководиоца надлежног за проверу имовног стања, доноси руководилац Се</w:t>
      </w:r>
      <w:r>
        <w:rPr>
          <w:color w:val="000000"/>
        </w:rPr>
        <w:t>ктора.</w:t>
      </w:r>
    </w:p>
    <w:p w:rsidR="00DB1D0A" w:rsidRDefault="00CC3089">
      <w:pPr>
        <w:spacing w:after="150"/>
      </w:pPr>
      <w:r>
        <w:rPr>
          <w:color w:val="000000"/>
        </w:rPr>
        <w:t>Након извршеног плана редовне годишње контроле Сектор сачињава извештај који доставља министру.</w:t>
      </w:r>
    </w:p>
    <w:p w:rsidR="00DB1D0A" w:rsidRDefault="00CC3089">
      <w:pPr>
        <w:spacing w:after="150"/>
      </w:pPr>
      <w:r>
        <w:rPr>
          <w:color w:val="000000"/>
        </w:rPr>
        <w:t>Ванредну контролу Сектор врши по сопственој иницијативи, на захтев надлежног јавног тужиоца, на основу прикупљених обавештења и других сазнања, анонимних</w:t>
      </w:r>
      <w:r>
        <w:rPr>
          <w:color w:val="000000"/>
        </w:rPr>
        <w:t xml:space="preserve"> и других обраћања.</w:t>
      </w:r>
    </w:p>
    <w:p w:rsidR="00DB1D0A" w:rsidRDefault="00CC3089">
      <w:pPr>
        <w:spacing w:after="150"/>
      </w:pPr>
      <w:r>
        <w:rPr>
          <w:color w:val="000000"/>
        </w:rPr>
        <w:t>Ради вршења контроле из ст. 1, 2. и 4. овог члана, а у циљу утврђивања тачности података наведених у обрасцу имовинског картона, Сектор врши упоређивање података из обрасца имовинског картона са подацима надлежних државних органа и друг</w:t>
      </w:r>
      <w:r>
        <w:rPr>
          <w:color w:val="000000"/>
        </w:rPr>
        <w:t>их правних лица и по потреби врши друге провере у складу са законом.</w:t>
      </w:r>
    </w:p>
    <w:p w:rsidR="00DB1D0A" w:rsidRDefault="00CC3089">
      <w:pPr>
        <w:spacing w:after="150"/>
      </w:pPr>
      <w:r>
        <w:rPr>
          <w:color w:val="000000"/>
        </w:rPr>
        <w:t>Ако Сектор у поступку контроле из ст. 1, 2. и 4. овог члана утврди да постоји несагласност између пријављених података у обрасцу имовинског картона и стварног стања или да постоји несагла</w:t>
      </w:r>
      <w:r>
        <w:rPr>
          <w:color w:val="000000"/>
        </w:rPr>
        <w:t>сност између увећане вредности имовине запосленог и његових законитих и пријављених прихода и имовине, Сектор утврђује битне чињенице и позива запосленог да се у року од 30 дана изјасни на околности уочене несагласности као и на околности утврђеног чињенич</w:t>
      </w:r>
      <w:r>
        <w:rPr>
          <w:color w:val="000000"/>
        </w:rPr>
        <w:t>ног стања.</w:t>
      </w:r>
    </w:p>
    <w:p w:rsidR="00DB1D0A" w:rsidRDefault="00CC3089">
      <w:pPr>
        <w:spacing w:after="150"/>
      </w:pPr>
      <w:r>
        <w:rPr>
          <w:color w:val="000000"/>
        </w:rPr>
        <w:t>Ако Сектор утврди непријављивање или неблаговремено пријављивање имовине и промене имовног стања и пријављивање нетачних података, сачињава извештај којим налаже отклањање утврђених неправилности и реализацију мера одговорности у складу са закон</w:t>
      </w:r>
      <w:r>
        <w:rPr>
          <w:color w:val="000000"/>
        </w:rPr>
        <w:t>ом и другим прописима донетим на основу закона. Сектор доставља извештај руководиоцу организационе јединице у којој запослени ради, који је одговоран за реализацију наложених и предложених мера и за повратно информисање руководиоца Сектора.</w:t>
      </w:r>
    </w:p>
    <w:p w:rsidR="00DB1D0A" w:rsidRDefault="00CC3089">
      <w:pPr>
        <w:spacing w:after="120"/>
        <w:jc w:val="center"/>
      </w:pPr>
      <w:r>
        <w:rPr>
          <w:color w:val="000000"/>
        </w:rPr>
        <w:lastRenderedPageBreak/>
        <w:t>Члан 4.</w:t>
      </w:r>
    </w:p>
    <w:p w:rsidR="00DB1D0A" w:rsidRDefault="00CC3089">
      <w:pPr>
        <w:spacing w:after="150"/>
      </w:pPr>
      <w:r>
        <w:rPr>
          <w:color w:val="000000"/>
        </w:rPr>
        <w:t>Запослени који су на дан почетка примене овог правилника распоређени на радна места за која постоји обавеза контроле дужни су да изврше пријаву имовног стања закључно са 31. јануаром 2019. године.</w:t>
      </w:r>
    </w:p>
    <w:p w:rsidR="00DB1D0A" w:rsidRDefault="00CC3089">
      <w:pPr>
        <w:spacing w:after="120"/>
        <w:jc w:val="center"/>
      </w:pPr>
      <w:r>
        <w:rPr>
          <w:color w:val="000000"/>
        </w:rPr>
        <w:t>Члан 5.</w:t>
      </w:r>
    </w:p>
    <w:p w:rsidR="00DB1D0A" w:rsidRDefault="00CC3089">
      <w:pPr>
        <w:spacing w:after="150"/>
      </w:pPr>
      <w:r>
        <w:rPr>
          <w:color w:val="000000"/>
        </w:rPr>
        <w:t>Овај правилник ступа на снагу осмог дана од дана об</w:t>
      </w:r>
      <w:r>
        <w:rPr>
          <w:color w:val="000000"/>
        </w:rPr>
        <w:t>јављивања у „Службеном гласнику Републике Србије”, а примењује се од 1. јануара 2019. године.</w:t>
      </w:r>
    </w:p>
    <w:p w:rsidR="00DB1D0A" w:rsidRDefault="00CC3089">
      <w:pPr>
        <w:spacing w:after="150"/>
        <w:jc w:val="right"/>
      </w:pPr>
      <w:r>
        <w:rPr>
          <w:color w:val="000000"/>
        </w:rPr>
        <w:t>01 број 4926/18-3</w:t>
      </w:r>
    </w:p>
    <w:p w:rsidR="00DB1D0A" w:rsidRDefault="00CC3089">
      <w:pPr>
        <w:spacing w:after="150"/>
        <w:jc w:val="right"/>
      </w:pPr>
      <w:r>
        <w:rPr>
          <w:color w:val="000000"/>
        </w:rPr>
        <w:t>У Београду, 21. јуна 2018. године</w:t>
      </w:r>
    </w:p>
    <w:p w:rsidR="00DB1D0A" w:rsidRDefault="00CC3089">
      <w:pPr>
        <w:spacing w:after="150"/>
        <w:jc w:val="right"/>
      </w:pPr>
      <w:r>
        <w:rPr>
          <w:color w:val="000000"/>
        </w:rPr>
        <w:t>Потпредседник Владе и</w:t>
      </w:r>
    </w:p>
    <w:p w:rsidR="00DB1D0A" w:rsidRDefault="00CC3089">
      <w:pPr>
        <w:spacing w:after="150"/>
        <w:jc w:val="right"/>
      </w:pPr>
      <w:r>
        <w:rPr>
          <w:color w:val="000000"/>
        </w:rPr>
        <w:t>министар</w:t>
      </w:r>
    </w:p>
    <w:p w:rsidR="00DB1D0A" w:rsidRDefault="00CC3089">
      <w:pPr>
        <w:spacing w:after="150"/>
        <w:jc w:val="right"/>
      </w:pPr>
      <w:r>
        <w:rPr>
          <w:color w:val="000000"/>
        </w:rPr>
        <w:t>унутрашњих послова,</w:t>
      </w:r>
    </w:p>
    <w:p w:rsidR="00DB1D0A" w:rsidRDefault="00CC3089">
      <w:pPr>
        <w:spacing w:after="150"/>
        <w:jc w:val="right"/>
      </w:pPr>
      <w:r>
        <w:rPr>
          <w:color w:val="000000"/>
        </w:rPr>
        <w:t xml:space="preserve">др </w:t>
      </w:r>
      <w:r>
        <w:rPr>
          <w:b/>
          <w:color w:val="000000"/>
        </w:rPr>
        <w:t>Небојша Стефановић,</w:t>
      </w:r>
      <w:r>
        <w:rPr>
          <w:color w:val="000000"/>
        </w:rPr>
        <w:t xml:space="preserve"> с.р.</w:t>
      </w:r>
    </w:p>
    <w:p w:rsidR="00CE0D60" w:rsidRDefault="00CE0D60">
      <w:r>
        <w:br w:type="page"/>
      </w:r>
    </w:p>
    <w:p w:rsidR="00CE0D60" w:rsidRDefault="00CE0D60">
      <w:r>
        <w:rPr>
          <w:noProof/>
        </w:rPr>
        <w:lastRenderedPageBreak/>
        <w:drawing>
          <wp:inline distT="0" distB="0" distL="0" distR="0">
            <wp:extent cx="5732145" cy="4072446"/>
            <wp:effectExtent l="0" t="0" r="0" b="0"/>
            <wp:docPr id="1" name="Picture 1" descr="http://www.pravno-informacioni-sistem.rs/SlGlasnikPortal/slike/obrazac-imovinskog-kartona_Page_1.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obrazac-imovinskog-kartona_Page_1.png&amp;doctype=reg&amp;abc=cba&amp;eli=true&amp;eliActId=429930&amp;regactid=429930"/>
                    <pic:cNvPicPr>
                      <a:picLocks noChangeAspect="1" noChangeArrowheads="1"/>
                    </pic:cNvPicPr>
                  </pic:nvPicPr>
                  <pic:blipFill>
                    <a:blip r:embed="rId6"/>
                    <a:srcRect/>
                    <a:stretch>
                      <a:fillRect/>
                    </a:stretch>
                  </pic:blipFill>
                  <pic:spPr bwMode="auto">
                    <a:xfrm>
                      <a:off x="0" y="0"/>
                      <a:ext cx="5732145" cy="4072446"/>
                    </a:xfrm>
                    <a:prstGeom prst="rect">
                      <a:avLst/>
                    </a:prstGeom>
                    <a:noFill/>
                    <a:ln w="9525">
                      <a:noFill/>
                      <a:miter lim="800000"/>
                      <a:headEnd/>
                      <a:tailEnd/>
                    </a:ln>
                  </pic:spPr>
                </pic:pic>
              </a:graphicData>
            </a:graphic>
          </wp:inline>
        </w:drawing>
      </w:r>
    </w:p>
    <w:p w:rsidR="00CE0D60" w:rsidRDefault="00CE0D60">
      <w:r w:rsidRPr="00CE0D60">
        <w:drawing>
          <wp:inline distT="0" distB="0" distL="0" distR="0">
            <wp:extent cx="5732145" cy="4072446"/>
            <wp:effectExtent l="0" t="0" r="0" b="0"/>
            <wp:docPr id="2" name="Picture 4" descr="http://www.pravno-informacioni-sistem.rs/SlGlasnikPortal/slike/obrazac-imovinskog-kartona_Page_2.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avno-informacioni-sistem.rs/SlGlasnikPortal/slike/obrazac-imovinskog-kartona_Page_2.png&amp;doctype=reg&amp;abc=cba&amp;eli=true&amp;eliActId=429930&amp;regactid=429930"/>
                    <pic:cNvPicPr>
                      <a:picLocks noChangeAspect="1" noChangeArrowheads="1"/>
                    </pic:cNvPicPr>
                  </pic:nvPicPr>
                  <pic:blipFill>
                    <a:blip r:embed="rId7"/>
                    <a:srcRect/>
                    <a:stretch>
                      <a:fillRect/>
                    </a:stretch>
                  </pic:blipFill>
                  <pic:spPr bwMode="auto">
                    <a:xfrm>
                      <a:off x="0" y="0"/>
                      <a:ext cx="5732145" cy="4072446"/>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732145" cy="4072446"/>
            <wp:effectExtent l="0" t="0" r="0" b="0"/>
            <wp:docPr id="7" name="Picture 7" descr="http://www.pravno-informacioni-sistem.rs/SlGlasnikPortal/slike/obrazac-imovinskog-kartona_Page_3.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avno-informacioni-sistem.rs/SlGlasnikPortal/slike/obrazac-imovinskog-kartona_Page_3.png&amp;doctype=reg&amp;abc=cba&amp;eli=true&amp;eliActId=429930&amp;regactid=429930"/>
                    <pic:cNvPicPr>
                      <a:picLocks noChangeAspect="1" noChangeArrowheads="1"/>
                    </pic:cNvPicPr>
                  </pic:nvPicPr>
                  <pic:blipFill>
                    <a:blip r:embed="rId8"/>
                    <a:srcRect/>
                    <a:stretch>
                      <a:fillRect/>
                    </a:stretch>
                  </pic:blipFill>
                  <pic:spPr bwMode="auto">
                    <a:xfrm>
                      <a:off x="0" y="0"/>
                      <a:ext cx="5732145" cy="4072446"/>
                    </a:xfrm>
                    <a:prstGeom prst="rect">
                      <a:avLst/>
                    </a:prstGeom>
                    <a:noFill/>
                    <a:ln w="9525">
                      <a:noFill/>
                      <a:miter lim="800000"/>
                      <a:headEnd/>
                      <a:tailEnd/>
                    </a:ln>
                  </pic:spPr>
                </pic:pic>
              </a:graphicData>
            </a:graphic>
          </wp:inline>
        </w:drawing>
      </w:r>
    </w:p>
    <w:p w:rsidR="00CE0D60" w:rsidRDefault="00CE0D60">
      <w:r w:rsidRPr="00CE0D60">
        <w:drawing>
          <wp:inline distT="0" distB="0" distL="0" distR="0">
            <wp:extent cx="5732145" cy="4072446"/>
            <wp:effectExtent l="0" t="0" r="0" b="0"/>
            <wp:docPr id="3" name="Picture 10" descr="http://www.pravno-informacioni-sistem.rs/SlGlasnikPortal/slike/obrazac-imovinskog-kartona_Page_4.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avno-informacioni-sistem.rs/SlGlasnikPortal/slike/obrazac-imovinskog-kartona_Page_4.png&amp;doctype=reg&amp;abc=cba&amp;eli=true&amp;eliActId=429930&amp;regactid=429930"/>
                    <pic:cNvPicPr>
                      <a:picLocks noChangeAspect="1" noChangeArrowheads="1"/>
                    </pic:cNvPicPr>
                  </pic:nvPicPr>
                  <pic:blipFill>
                    <a:blip r:embed="rId9"/>
                    <a:srcRect/>
                    <a:stretch>
                      <a:fillRect/>
                    </a:stretch>
                  </pic:blipFill>
                  <pic:spPr bwMode="auto">
                    <a:xfrm>
                      <a:off x="0" y="0"/>
                      <a:ext cx="5732145" cy="4072446"/>
                    </a:xfrm>
                    <a:prstGeom prst="rect">
                      <a:avLst/>
                    </a:prstGeom>
                    <a:noFill/>
                    <a:ln w="9525">
                      <a:noFill/>
                      <a:miter lim="800000"/>
                      <a:headEnd/>
                      <a:tailEnd/>
                    </a:ln>
                  </pic:spPr>
                </pic:pic>
              </a:graphicData>
            </a:graphic>
          </wp:inline>
        </w:drawing>
      </w:r>
      <w:r>
        <w:br w:type="page"/>
      </w:r>
    </w:p>
    <w:p w:rsidR="00CE0D60" w:rsidRDefault="00CE0D60">
      <w:r>
        <w:rPr>
          <w:noProof/>
        </w:rPr>
        <w:lastRenderedPageBreak/>
        <w:drawing>
          <wp:inline distT="0" distB="0" distL="0" distR="0">
            <wp:extent cx="5732145" cy="4072446"/>
            <wp:effectExtent l="0" t="0" r="0" b="0"/>
            <wp:docPr id="13" name="Picture 13" descr="http://www.pravno-informacioni-sistem.rs/SlGlasnikPortal/slike/obrazac-imovinskog-kartona_Page_5.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avno-informacioni-sistem.rs/SlGlasnikPortal/slike/obrazac-imovinskog-kartona_Page_5.png&amp;doctype=reg&amp;abc=cba&amp;eli=true&amp;eliActId=429930&amp;regactid=429930"/>
                    <pic:cNvPicPr>
                      <a:picLocks noChangeAspect="1" noChangeArrowheads="1"/>
                    </pic:cNvPicPr>
                  </pic:nvPicPr>
                  <pic:blipFill>
                    <a:blip r:embed="rId10"/>
                    <a:srcRect/>
                    <a:stretch>
                      <a:fillRect/>
                    </a:stretch>
                  </pic:blipFill>
                  <pic:spPr bwMode="auto">
                    <a:xfrm>
                      <a:off x="0" y="0"/>
                      <a:ext cx="5732145" cy="4072446"/>
                    </a:xfrm>
                    <a:prstGeom prst="rect">
                      <a:avLst/>
                    </a:prstGeom>
                    <a:noFill/>
                    <a:ln w="9525">
                      <a:noFill/>
                      <a:miter lim="800000"/>
                      <a:headEnd/>
                      <a:tailEnd/>
                    </a:ln>
                  </pic:spPr>
                </pic:pic>
              </a:graphicData>
            </a:graphic>
          </wp:inline>
        </w:drawing>
      </w:r>
    </w:p>
    <w:p w:rsidR="00CE0D60" w:rsidRDefault="00CE0D60">
      <w:r w:rsidRPr="00CE0D60">
        <w:drawing>
          <wp:inline distT="0" distB="0" distL="0" distR="0">
            <wp:extent cx="5732145" cy="4072446"/>
            <wp:effectExtent l="0" t="0" r="0" b="0"/>
            <wp:docPr id="5" name="Picture 16" descr="http://www.pravno-informacioni-sistem.rs/SlGlasnikPortal/slike/obrazac-imovinskog-kartona_Page_6.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avno-informacioni-sistem.rs/SlGlasnikPortal/slike/obrazac-imovinskog-kartona_Page_6.png&amp;doctype=reg&amp;abc=cba&amp;eli=true&amp;eliActId=429930&amp;regactid=429930"/>
                    <pic:cNvPicPr>
                      <a:picLocks noChangeAspect="1" noChangeArrowheads="1"/>
                    </pic:cNvPicPr>
                  </pic:nvPicPr>
                  <pic:blipFill>
                    <a:blip r:embed="rId11"/>
                    <a:srcRect/>
                    <a:stretch>
                      <a:fillRect/>
                    </a:stretch>
                  </pic:blipFill>
                  <pic:spPr bwMode="auto">
                    <a:xfrm>
                      <a:off x="0" y="0"/>
                      <a:ext cx="5732145" cy="4072446"/>
                    </a:xfrm>
                    <a:prstGeom prst="rect">
                      <a:avLst/>
                    </a:prstGeom>
                    <a:noFill/>
                    <a:ln w="9525">
                      <a:noFill/>
                      <a:miter lim="800000"/>
                      <a:headEnd/>
                      <a:tailEnd/>
                    </a:ln>
                  </pic:spPr>
                </pic:pic>
              </a:graphicData>
            </a:graphic>
          </wp:inline>
        </w:drawing>
      </w:r>
      <w:r>
        <w:br w:type="page"/>
      </w:r>
    </w:p>
    <w:p w:rsidR="00CE0D60" w:rsidRDefault="00CE0D60">
      <w:r>
        <w:rPr>
          <w:noProof/>
        </w:rPr>
        <w:lastRenderedPageBreak/>
        <w:drawing>
          <wp:inline distT="0" distB="0" distL="0" distR="0">
            <wp:extent cx="5732145" cy="4072446"/>
            <wp:effectExtent l="0" t="0" r="0" b="0"/>
            <wp:docPr id="19" name="Picture 19" descr="http://www.pravno-informacioni-sistem.rs/SlGlasnikPortal/slike/obrazac-imovinskog-kartona_Page_7.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avno-informacioni-sistem.rs/SlGlasnikPortal/slike/obrazac-imovinskog-kartona_Page_7.png&amp;doctype=reg&amp;abc=cba&amp;eli=true&amp;eliActId=429930&amp;regactid=429930"/>
                    <pic:cNvPicPr>
                      <a:picLocks noChangeAspect="1" noChangeArrowheads="1"/>
                    </pic:cNvPicPr>
                  </pic:nvPicPr>
                  <pic:blipFill>
                    <a:blip r:embed="rId12"/>
                    <a:srcRect/>
                    <a:stretch>
                      <a:fillRect/>
                    </a:stretch>
                  </pic:blipFill>
                  <pic:spPr bwMode="auto">
                    <a:xfrm>
                      <a:off x="0" y="0"/>
                      <a:ext cx="5732145" cy="4072446"/>
                    </a:xfrm>
                    <a:prstGeom prst="rect">
                      <a:avLst/>
                    </a:prstGeom>
                    <a:noFill/>
                    <a:ln w="9525">
                      <a:noFill/>
                      <a:miter lim="800000"/>
                      <a:headEnd/>
                      <a:tailEnd/>
                    </a:ln>
                  </pic:spPr>
                </pic:pic>
              </a:graphicData>
            </a:graphic>
          </wp:inline>
        </w:drawing>
      </w:r>
    </w:p>
    <w:p w:rsidR="00CE0D60" w:rsidRPr="00CE0D60" w:rsidRDefault="00CE0D60" w:rsidP="00CE0D60">
      <w:r w:rsidRPr="00CE0D60">
        <w:drawing>
          <wp:inline distT="0" distB="0" distL="0" distR="0">
            <wp:extent cx="5732145" cy="4072446"/>
            <wp:effectExtent l="0" t="0" r="0" b="0"/>
            <wp:docPr id="8" name="Picture 28" descr="http://www.pravno-informacioni-sistem.rs/SlGlasnikPortal/slike/obrazac-imovinskog-kartona_Page_8.png&amp;doctype=reg&amp;abc=cba&amp;eli=true&amp;eliActId=429930&amp;regactid=4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avno-informacioni-sistem.rs/SlGlasnikPortal/slike/obrazac-imovinskog-kartona_Page_8.png&amp;doctype=reg&amp;abc=cba&amp;eli=true&amp;eliActId=429930&amp;regactid=429930"/>
                    <pic:cNvPicPr>
                      <a:picLocks noChangeAspect="1" noChangeArrowheads="1"/>
                    </pic:cNvPicPr>
                  </pic:nvPicPr>
                  <pic:blipFill>
                    <a:blip r:embed="rId13"/>
                    <a:srcRect/>
                    <a:stretch>
                      <a:fillRect/>
                    </a:stretch>
                  </pic:blipFill>
                  <pic:spPr bwMode="auto">
                    <a:xfrm>
                      <a:off x="0" y="0"/>
                      <a:ext cx="5732145" cy="4072446"/>
                    </a:xfrm>
                    <a:prstGeom prst="rect">
                      <a:avLst/>
                    </a:prstGeom>
                    <a:noFill/>
                    <a:ln w="9525">
                      <a:noFill/>
                      <a:miter lim="800000"/>
                      <a:headEnd/>
                      <a:tailEnd/>
                    </a:ln>
                  </pic:spPr>
                </pic:pic>
              </a:graphicData>
            </a:graphic>
          </wp:inline>
        </w:drawing>
      </w:r>
    </w:p>
    <w:sectPr w:rsidR="00CE0D60" w:rsidRPr="00CE0D60" w:rsidSect="00DB1D0A">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089" w:rsidRDefault="00CC3089" w:rsidP="00CE0D60">
      <w:pPr>
        <w:spacing w:after="0" w:line="240" w:lineRule="auto"/>
      </w:pPr>
      <w:r>
        <w:separator/>
      </w:r>
    </w:p>
  </w:endnote>
  <w:endnote w:type="continuationSeparator" w:id="1">
    <w:p w:rsidR="00CC3089" w:rsidRDefault="00CC3089" w:rsidP="00CE0D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089" w:rsidRDefault="00CC3089" w:rsidP="00CE0D60">
      <w:pPr>
        <w:spacing w:after="0" w:line="240" w:lineRule="auto"/>
      </w:pPr>
      <w:r>
        <w:separator/>
      </w:r>
    </w:p>
  </w:footnote>
  <w:footnote w:type="continuationSeparator" w:id="1">
    <w:p w:rsidR="00CC3089" w:rsidRDefault="00CC3089" w:rsidP="00CE0D6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B1D0A"/>
    <w:rsid w:val="00CC3089"/>
    <w:rsid w:val="00CE0D60"/>
    <w:rsid w:val="00DB1D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sid w:val="00DB1D0A"/>
    <w:rPr>
      <w:color w:val="0000FF" w:themeColor="hyperlink"/>
      <w:u w:val="single"/>
    </w:rPr>
  </w:style>
  <w:style w:type="table" w:styleId="TableGrid">
    <w:name w:val="Table Grid"/>
    <w:basedOn w:val="TableNormal"/>
    <w:uiPriority w:val="59"/>
    <w:rsid w:val="00DB1D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DB1D0A"/>
  </w:style>
  <w:style w:type="paragraph" w:styleId="BalloonText">
    <w:name w:val="Balloon Text"/>
    <w:basedOn w:val="Normal"/>
    <w:link w:val="BalloonTextChar"/>
    <w:uiPriority w:val="99"/>
    <w:semiHidden/>
    <w:unhideWhenUsed/>
    <w:rsid w:val="00CE0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D60"/>
    <w:rPr>
      <w:rFonts w:ascii="Tahoma" w:hAnsi="Tahoma" w:cs="Tahoma"/>
      <w:sz w:val="16"/>
      <w:szCs w:val="16"/>
    </w:rPr>
  </w:style>
  <w:style w:type="paragraph" w:styleId="Footer">
    <w:name w:val="footer"/>
    <w:basedOn w:val="Normal"/>
    <w:link w:val="FooterChar"/>
    <w:uiPriority w:val="99"/>
    <w:semiHidden/>
    <w:unhideWhenUsed/>
    <w:rsid w:val="00CE0D60"/>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CE0D60"/>
    <w:rPr>
      <w:rFonts w:ascii="Verdana" w:hAnsi="Verdana" w:cs="Verdan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705</Words>
  <Characters>4025</Characters>
  <Application>Microsoft Office Word</Application>
  <DocSecurity>0</DocSecurity>
  <Lines>33</Lines>
  <Paragraphs>9</Paragraphs>
  <ScaleCrop>false</ScaleCrop>
  <Company/>
  <LinksUpToDate>false</LinksUpToDate>
  <CharactersWithSpaces>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ivukovic</dc:creator>
  <cp:lastModifiedBy>ivukovic</cp:lastModifiedBy>
  <cp:revision>2</cp:revision>
  <dcterms:created xsi:type="dcterms:W3CDTF">2020-05-19T09:05:00Z</dcterms:created>
  <dcterms:modified xsi:type="dcterms:W3CDTF">2020-05-19T09:05:00Z</dcterms:modified>
</cp:coreProperties>
</file>