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 xml:space="preserve"> 9. </w:t>
      </w:r>
      <w:r>
        <w:rPr>
          <w:rFonts w:ascii="Times New Roman" w:hAnsi="Times New Roman" w:cs="Times New Roman"/>
          <w:color w:val="000000"/>
        </w:rPr>
        <w:t>stav</w:t>
      </w:r>
      <w:r w:rsidR="005C6A71" w:rsidRPr="005C6A7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Zakona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5C6A71" w:rsidRPr="005C6A71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5C6A71" w:rsidRPr="005C6A71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5C6A71" w:rsidRPr="005C6A71">
        <w:rPr>
          <w:rFonts w:ascii="Times New Roman" w:hAnsi="Times New Roman" w:cs="Times New Roman"/>
          <w:color w:val="000000"/>
        </w:rPr>
        <w:t xml:space="preserve"> 6/16)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 xml:space="preserve"> 17. </w:t>
      </w:r>
      <w:r>
        <w:rPr>
          <w:rFonts w:ascii="Times New Roman" w:hAnsi="Times New Roman" w:cs="Times New Roman"/>
          <w:color w:val="000000"/>
        </w:rPr>
        <w:t>stav</w:t>
      </w:r>
      <w:r w:rsidR="005C6A71" w:rsidRPr="005C6A7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 xml:space="preserve"> 42. </w:t>
      </w:r>
      <w:r>
        <w:rPr>
          <w:rFonts w:ascii="Times New Roman" w:hAnsi="Times New Roman" w:cs="Times New Roman"/>
          <w:color w:val="000000"/>
        </w:rPr>
        <w:t>stav</w:t>
      </w:r>
      <w:r w:rsidR="005C6A71" w:rsidRPr="005C6A7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Zakona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Vladi</w:t>
      </w:r>
      <w:r w:rsidR="005C6A71" w:rsidRPr="005C6A71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5C6A71" w:rsidRPr="005C6A71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5C6A71" w:rsidRPr="005C6A71">
        <w:rPr>
          <w:rFonts w:ascii="Times New Roman" w:hAnsi="Times New Roman" w:cs="Times New Roman"/>
          <w:color w:val="000000"/>
        </w:rPr>
        <w:t xml:space="preserve">. 55/05, 71/05 – </w:t>
      </w:r>
      <w:r>
        <w:rPr>
          <w:rFonts w:ascii="Times New Roman" w:hAnsi="Times New Roman" w:cs="Times New Roman"/>
          <w:color w:val="000000"/>
        </w:rPr>
        <w:t>ispravka</w:t>
      </w:r>
      <w:r w:rsidR="005C6A71" w:rsidRPr="005C6A71">
        <w:rPr>
          <w:rFonts w:ascii="Times New Roman" w:hAnsi="Times New Roman" w:cs="Times New Roman"/>
          <w:color w:val="000000"/>
        </w:rPr>
        <w:t xml:space="preserve">, 101/07, 65/08, 16/11, 68/12 – </w:t>
      </w:r>
      <w:r>
        <w:rPr>
          <w:rFonts w:ascii="Times New Roman" w:hAnsi="Times New Roman" w:cs="Times New Roman"/>
          <w:color w:val="000000"/>
        </w:rPr>
        <w:t>US</w:t>
      </w:r>
      <w:r w:rsidR="005C6A71" w:rsidRPr="005C6A71">
        <w:rPr>
          <w:rFonts w:ascii="Times New Roman" w:hAnsi="Times New Roman" w:cs="Times New Roman"/>
          <w:color w:val="000000"/>
        </w:rPr>
        <w:t xml:space="preserve">, 72/12, 7/14 – </w:t>
      </w:r>
      <w:r>
        <w:rPr>
          <w:rFonts w:ascii="Times New Roman" w:hAnsi="Times New Roman" w:cs="Times New Roman"/>
          <w:color w:val="000000"/>
        </w:rPr>
        <w:t>US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44/14),</w:t>
      </w:r>
    </w:p>
    <w:p w:rsidR="002D4C87" w:rsidRDefault="00A917BD">
      <w:pPr>
        <w:spacing w:after="1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Vlada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5C6A71" w:rsidRPr="005C6A71" w:rsidRDefault="005C6A71">
      <w:pPr>
        <w:spacing w:after="150"/>
        <w:rPr>
          <w:rFonts w:ascii="Times New Roman" w:hAnsi="Times New Roman" w:cs="Times New Roman"/>
        </w:rPr>
      </w:pPr>
    </w:p>
    <w:p w:rsidR="002D4C87" w:rsidRPr="005C6A71" w:rsidRDefault="00A917BD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UREDBU</w:t>
      </w:r>
    </w:p>
    <w:p w:rsidR="002D4C87" w:rsidRPr="005C6A71" w:rsidRDefault="00A917BD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načelima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za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unutrašnje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uređenje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Ministarstva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unutrašnjih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poslova</w:t>
      </w:r>
    </w:p>
    <w:p w:rsidR="002D4C87" w:rsidRDefault="005C6A71">
      <w:pPr>
        <w:spacing w:after="120"/>
        <w:jc w:val="center"/>
        <w:rPr>
          <w:rFonts w:ascii="Times New Roman" w:hAnsi="Times New Roman" w:cs="Times New Roman"/>
          <w:color w:val="000000"/>
        </w:rPr>
      </w:pPr>
      <w:r w:rsidRPr="005C6A71">
        <w:rPr>
          <w:rFonts w:ascii="Times New Roman" w:hAnsi="Times New Roman" w:cs="Times New Roman"/>
          <w:color w:val="000000"/>
        </w:rPr>
        <w:t>"</w:t>
      </w:r>
      <w:r w:rsidR="00A917BD">
        <w:rPr>
          <w:rFonts w:ascii="Times New Roman" w:hAnsi="Times New Roman" w:cs="Times New Roman"/>
          <w:color w:val="000000"/>
        </w:rPr>
        <w:t>Službeni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glasnik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RS</w:t>
      </w:r>
      <w:r w:rsidRPr="005C6A71">
        <w:rPr>
          <w:rFonts w:ascii="Times New Roman" w:hAnsi="Times New Roman" w:cs="Times New Roman"/>
          <w:color w:val="000000"/>
        </w:rPr>
        <w:t xml:space="preserve">", </w:t>
      </w:r>
      <w:r w:rsidR="00A917BD">
        <w:rPr>
          <w:rFonts w:ascii="Times New Roman" w:hAnsi="Times New Roman" w:cs="Times New Roman"/>
          <w:color w:val="000000"/>
        </w:rPr>
        <w:t>broj</w:t>
      </w:r>
      <w:r w:rsidRPr="005C6A71">
        <w:rPr>
          <w:rFonts w:ascii="Times New Roman" w:hAnsi="Times New Roman" w:cs="Times New Roman"/>
          <w:color w:val="000000"/>
        </w:rPr>
        <w:t xml:space="preserve"> 60 </w:t>
      </w:r>
      <w:r w:rsidR="00A917BD">
        <w:rPr>
          <w:rFonts w:ascii="Times New Roman" w:hAnsi="Times New Roman" w:cs="Times New Roman"/>
          <w:color w:val="000000"/>
        </w:rPr>
        <w:t>od</w:t>
      </w:r>
      <w:r w:rsidRPr="005C6A71">
        <w:rPr>
          <w:rFonts w:ascii="Times New Roman" w:hAnsi="Times New Roman" w:cs="Times New Roman"/>
          <w:color w:val="000000"/>
        </w:rPr>
        <w:t xml:space="preserve"> 20. </w:t>
      </w:r>
      <w:r w:rsidR="00A917BD">
        <w:rPr>
          <w:rFonts w:ascii="Times New Roman" w:hAnsi="Times New Roman" w:cs="Times New Roman"/>
          <w:color w:val="000000"/>
        </w:rPr>
        <w:t>juna</w:t>
      </w:r>
      <w:r w:rsidRPr="005C6A71">
        <w:rPr>
          <w:rFonts w:ascii="Times New Roman" w:hAnsi="Times New Roman" w:cs="Times New Roman"/>
          <w:color w:val="000000"/>
        </w:rPr>
        <w:t xml:space="preserve"> 2017.</w:t>
      </w:r>
    </w:p>
    <w:p w:rsidR="005C6A71" w:rsidRPr="005C6A71" w:rsidRDefault="005C6A71">
      <w:pPr>
        <w:spacing w:after="120"/>
        <w:jc w:val="center"/>
        <w:rPr>
          <w:rFonts w:ascii="Times New Roman" w:hAnsi="Times New Roman" w:cs="Times New Roman"/>
        </w:rPr>
      </w:pP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I. </w:t>
      </w:r>
      <w:r w:rsidR="00A917BD">
        <w:rPr>
          <w:rFonts w:ascii="Times New Roman" w:hAnsi="Times New Roman" w:cs="Times New Roman"/>
          <w:color w:val="000000"/>
        </w:rPr>
        <w:t>UVODNA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ODREDBA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daljem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5C6A71" w:rsidRPr="005C6A71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Ministarstvo</w:t>
      </w:r>
      <w:r w:rsidR="005C6A71" w:rsidRPr="005C6A71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vrste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II. </w:t>
      </w:r>
      <w:r w:rsidR="00A917BD">
        <w:rPr>
          <w:rFonts w:ascii="Times New Roman" w:hAnsi="Times New Roman" w:cs="Times New Roman"/>
          <w:color w:val="000000"/>
        </w:rPr>
        <w:t>NAČELA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UNUTRAŠNJE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UREĐENJE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2.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zasniva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>: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1) </w:t>
      </w:r>
      <w:r w:rsidR="00A917BD">
        <w:rPr>
          <w:rFonts w:ascii="Times New Roman" w:hAnsi="Times New Roman" w:cs="Times New Roman"/>
          <w:color w:val="000000"/>
        </w:rPr>
        <w:t>delokrugu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Ministarstva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radnim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procesima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njemu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2) </w:t>
      </w:r>
      <w:r w:rsidR="00A917BD">
        <w:rPr>
          <w:rFonts w:ascii="Times New Roman" w:hAnsi="Times New Roman" w:cs="Times New Roman"/>
          <w:color w:val="000000"/>
        </w:rPr>
        <w:t>obezbeđivanju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međusobna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povezanost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jedinica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njihovo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uređenje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omogući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delotvorno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usklađeno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funkcionisanje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obavljanje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policijskih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drugih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poslova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iz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delokruga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Ministarstva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3) </w:t>
      </w:r>
      <w:r w:rsidR="00A917BD">
        <w:rPr>
          <w:rFonts w:ascii="Times New Roman" w:hAnsi="Times New Roman" w:cs="Times New Roman"/>
          <w:color w:val="000000"/>
        </w:rPr>
        <w:t>obezbeđivanju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brzog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delotvornog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ostvarivanja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zaštite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pravnih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interesa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građana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kao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bezbednosti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građana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imovine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4) </w:t>
      </w:r>
      <w:r w:rsidR="00A917BD">
        <w:rPr>
          <w:rFonts w:ascii="Times New Roman" w:hAnsi="Times New Roman" w:cs="Times New Roman"/>
          <w:color w:val="000000"/>
        </w:rPr>
        <w:t>obezbeđivanju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grupisanja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istovrsnih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ili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srodnih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međusobno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povezanih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poslova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odgovarajuće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Ministarstva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principu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organizacionim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jedinicama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obavljanje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istovrsnih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poslova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može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obrazovati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samo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jedna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odgovarajućom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strukturom</w:t>
      </w:r>
      <w:r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3.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sistematizacija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delokrug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kategorizacija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broj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sistematizacija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vrsta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status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opis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radna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predviđaju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popunjavanje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rukovođenja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planiranja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izvršavanja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propisuju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prethodno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pribavljenoj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Vlade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III. </w:t>
      </w:r>
      <w:r w:rsidR="00A917BD">
        <w:rPr>
          <w:rFonts w:ascii="Times New Roman" w:hAnsi="Times New Roman" w:cs="Times New Roman"/>
          <w:color w:val="000000"/>
        </w:rPr>
        <w:t>VRSTE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ORGANIZACIONIH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JEDINICA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4.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IV. </w:t>
      </w:r>
      <w:r w:rsidR="00A917BD">
        <w:rPr>
          <w:rFonts w:ascii="Times New Roman" w:hAnsi="Times New Roman" w:cs="Times New Roman"/>
          <w:color w:val="000000"/>
        </w:rPr>
        <w:t>UNUTRAŠNJE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JEDINICE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5.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C6A71" w:rsidRPr="005C6A71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Kabinet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Sekretarijat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Direkcija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sektori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revizije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6.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Kabinet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savetodavne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operativno</w:t>
      </w:r>
      <w:r w:rsidR="005C6A71" w:rsidRPr="005C6A7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stručne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javnošću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protokola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značajne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C6A71" w:rsidRPr="005C6A7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zbog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specifičnosti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raspoređuju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premeštaju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pravilu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zaposleni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neodređeno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iskustvom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Kabinetom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šef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kabineta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7.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Sekretarijat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normativne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sistemsko</w:t>
      </w:r>
      <w:r w:rsidR="005C6A71" w:rsidRPr="005C6A7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pravne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</w:t>
      </w:r>
      <w:r w:rsidR="005C6A71" w:rsidRPr="005C6A7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savetodavne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celini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valjanosti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stambene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ličnosti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slobodnog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pristupa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informacijama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značaja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pritužbenog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Sekretarijat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pruža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stručnu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podršku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saradnje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državnim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organizacijama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Sekretarijatom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sekretar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8.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Direkcija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vršila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Direkcijom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direktor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9.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Sektor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zaokruženu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Sektor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Sektor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obavlja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predstavljaju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zaokruženu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stvaraju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celini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Sektorom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istovremeno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sektora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10.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Služba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revizije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Službom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V. </w:t>
      </w:r>
      <w:r w:rsidR="00A917BD">
        <w:rPr>
          <w:rFonts w:ascii="Times New Roman" w:hAnsi="Times New Roman" w:cs="Times New Roman"/>
          <w:color w:val="000000"/>
        </w:rPr>
        <w:t>UŽE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JEDINICE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11.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jesu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odseci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izuzetno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Direkciji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drugoj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unutrašnjoj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organizacionoj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delokrug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odseci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12.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Uprava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međusobno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C6A71" w:rsidRPr="005C6A71">
        <w:rPr>
          <w:rFonts w:ascii="Times New Roman" w:hAnsi="Times New Roman" w:cs="Times New Roman"/>
          <w:color w:val="000000"/>
        </w:rPr>
        <w:t xml:space="preserve"> 50 </w:t>
      </w:r>
      <w:r>
        <w:rPr>
          <w:rFonts w:ascii="Times New Roman" w:hAnsi="Times New Roman" w:cs="Times New Roman"/>
          <w:color w:val="000000"/>
        </w:rPr>
        <w:t>zaposlenih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Upravom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Uprava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Odeljenje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međusobno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osam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zaposlenih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Odeljenjem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Odeljenje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odseke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Odsek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međusobno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srodnih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povezanost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posebnost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zaposlenih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Odsekom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šef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odseka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Odsek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Grupa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međusobno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srodnih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najmanje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zaposlena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Grupom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drugačiji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poseban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naziv</w:t>
      </w:r>
      <w:r w:rsidR="005C6A71" w:rsidRPr="005C6A71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služba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kancelarija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jedinica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centar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</w:t>
      </w:r>
      <w:r w:rsidR="005C6A71" w:rsidRPr="005C6A71">
        <w:rPr>
          <w:rFonts w:ascii="Times New Roman" w:hAnsi="Times New Roman" w:cs="Times New Roman"/>
          <w:color w:val="000000"/>
        </w:rPr>
        <w:t xml:space="preserve">.) </w:t>
      </w:r>
      <w:r>
        <w:rPr>
          <w:rFonts w:ascii="Times New Roman" w:hAnsi="Times New Roman" w:cs="Times New Roman"/>
          <w:color w:val="000000"/>
        </w:rPr>
        <w:t>koji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bolje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odražava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delokrug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ali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odseka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organizacionoj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strukturi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jedinicama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poseban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naziv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potrebno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sistematizaciji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ekvivalent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5C6A71" w:rsidRPr="005C6A71">
        <w:rPr>
          <w:rFonts w:ascii="Times New Roman" w:hAnsi="Times New Roman" w:cs="Times New Roman"/>
          <w:color w:val="000000"/>
        </w:rPr>
        <w:t xml:space="preserve">. 1, 4, 7.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10. </w:t>
      </w:r>
      <w:r>
        <w:rPr>
          <w:rFonts w:ascii="Times New Roman" w:hAnsi="Times New Roman" w:cs="Times New Roman"/>
          <w:color w:val="000000"/>
        </w:rPr>
        <w:t>ovog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VI. </w:t>
      </w:r>
      <w:r w:rsidR="00A917BD">
        <w:rPr>
          <w:rFonts w:ascii="Times New Roman" w:hAnsi="Times New Roman" w:cs="Times New Roman"/>
          <w:color w:val="000000"/>
        </w:rPr>
        <w:t>UŽE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ORGANIZACIONE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JEDINICE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DIREKCIJE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POLICIJE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13.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Direkciji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uredbom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funkcionalno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povezane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jedinicama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srodne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delokruga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obavljaju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centralnom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regionalnom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lokalnom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nivou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Rukovođenje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odgovornost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Direkciji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zasniva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utvrđenoj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hijerarhiji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jednostarešinstva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subordinacije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Načelo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jednostarešinstva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subordinacije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rukovođenju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ostvaruje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jedan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rukovodilac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opisom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zakonitim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uputstvima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više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14.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Uže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Direkciji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15.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</w:t>
      </w:r>
      <w:r w:rsidR="005C6A71" w:rsidRPr="005C6A71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obrazuje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sedištem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Beograda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odseci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opštinama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16.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Područne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odnosno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opština</w:t>
      </w:r>
      <w:r w:rsidR="005C6A71" w:rsidRPr="005C6A71">
        <w:rPr>
          <w:rFonts w:ascii="Times New Roman" w:hAnsi="Times New Roman" w:cs="Times New Roman"/>
          <w:color w:val="000000"/>
        </w:rPr>
        <w:t>: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Boru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Bor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Kladovo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Majdanpek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Negotin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Boru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Valjevu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Valjevo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Lajkovac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Ljig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Mionicu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Osečinu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Ub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Valjevu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3)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Vranju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Vranje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Bosilegrad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Bujanovac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Vladičin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Han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Preševo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Surdulicu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Trgovište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Vranju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4)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Zaječaru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Zaječar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Boljevac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Knjaževac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Sokobanju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Zaječaru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5)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Zrenjaninu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Zrenjanin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Žitište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Novi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Bečej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Novu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Crnju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Sečanj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Zrenjaninu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6)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Jagodini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Jagodinu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Despotovac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Paraćin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Rekovac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Svilajnac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Ćupriju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Jagodini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7)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Kikindi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Kikindu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Adu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Kanjižu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Novi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Kneževac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Sentu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Čoku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Kikindi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8)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Kragujevcu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Kragujevac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Aranđelovac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Batočinu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Knić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Lapovo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Raču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Topolu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Kragujevcu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9)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Kraljevu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Kraljevo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Vrnjačku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Banju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Rašku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Kraljevu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10)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Kruševcu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Kruševac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Aleksandrovac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Brus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Varvarin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Trstenik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Ćićevac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Kruševcu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11)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Leskovcu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Leskovac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Bojnik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Vlasotince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Lebane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Medveđu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Crnu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Travu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Leskovcu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12)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Nišu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Niš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Aleksinac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Gadžin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Han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Doljevac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Merošinu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Ražanj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Svrljig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Nišu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13)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Novom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Pazaru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Novi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Pazar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Sjenicu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Tutin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Novom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Pazaru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14)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Novom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Sadu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Novi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Sad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Bač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Bačku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Palanku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Bački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Petrovac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Beočin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Bečej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Vrbas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Žabalj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Srbobran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Sremske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Karlovce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Temerin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Titel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Novom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Sadu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lastRenderedPageBreak/>
        <w:t xml:space="preserve">15)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Pančevu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Pančevo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Alibunar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Belu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Crkvu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Vršac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Kovačicu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Kovin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Opovo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Plandište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Pančevu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16)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Pirotu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Pirot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Babušnicu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Belu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Palanku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Dimitrovgrad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Pirotu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17)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Požarevcu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Požarevac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Veliko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Gradište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Golubac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Žabare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Žagubicu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Kučevo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Malo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Crniće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Petrovac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na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Mlavi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Požarevcu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18)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Prijepolju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Prijepolje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Novu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Varoš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Priboj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Prijepolju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19)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Prokuplju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Prokuplje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Blace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Žitorađu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Kuršumliju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Prokuplju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20)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Smederevu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Smederevo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Veliku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Planu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Smederevsku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Palanku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Smederevu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21)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Somboru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Sombor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Apatin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Kulu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Odžake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Somboru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22)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Sremskoj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Mitrovici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Sremsku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Mitrovicu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Inđiju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Irig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Pećince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Rumu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Staru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Pazovu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Šid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Sremskoj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Mitrovici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23)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Subotici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Suboticu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Bačku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Topolu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Mali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Iđoš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Subotici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24)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Užicu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Užice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Arilje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Bajinu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Baštu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Kosjerić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Požegu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Čajetinu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Užicu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25)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Čačku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Čačak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Gornji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Milanovac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Ivanjicu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Lučane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Čačku</w:t>
      </w:r>
      <w:r w:rsidRPr="005C6A71">
        <w:rPr>
          <w:rFonts w:ascii="Times New Roman" w:hAnsi="Times New Roman" w:cs="Times New Roman"/>
          <w:color w:val="000000"/>
        </w:rPr>
        <w:t>;</w:t>
      </w:r>
    </w:p>
    <w:p w:rsidR="002D4C87" w:rsidRPr="005C6A71" w:rsidRDefault="005C6A71">
      <w:pPr>
        <w:spacing w:after="150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26) </w:t>
      </w:r>
      <w:r w:rsidR="00A917BD">
        <w:rPr>
          <w:rFonts w:ascii="Times New Roman" w:hAnsi="Times New Roman" w:cs="Times New Roman"/>
          <w:color w:val="000000"/>
        </w:rPr>
        <w:t>Policijska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uprava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Šapcu</w:t>
      </w:r>
      <w:r w:rsidRPr="005C6A71">
        <w:rPr>
          <w:rFonts w:ascii="Times New Roman" w:hAnsi="Times New Roman" w:cs="Times New Roman"/>
          <w:color w:val="000000"/>
        </w:rPr>
        <w:t xml:space="preserve"> – </w:t>
      </w:r>
      <w:r w:rsidR="00A917BD">
        <w:rPr>
          <w:rFonts w:ascii="Times New Roman" w:hAnsi="Times New Roman" w:cs="Times New Roman"/>
          <w:color w:val="000000"/>
        </w:rPr>
        <w:t>za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Šabac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Bogatić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Vladimirce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Koceljevu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Krupanj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Loznicu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Ljuboviju 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Mali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Zvornik</w:t>
      </w:r>
      <w:r w:rsidRPr="005C6A71">
        <w:rPr>
          <w:rFonts w:ascii="Times New Roman" w:hAnsi="Times New Roman" w:cs="Times New Roman"/>
          <w:color w:val="000000"/>
        </w:rPr>
        <w:t xml:space="preserve">, </w:t>
      </w:r>
      <w:r w:rsidR="00A917BD">
        <w:rPr>
          <w:rFonts w:ascii="Times New Roman" w:hAnsi="Times New Roman" w:cs="Times New Roman"/>
          <w:color w:val="000000"/>
        </w:rPr>
        <w:t>sa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sedištem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u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Šapcu</w:t>
      </w:r>
      <w:r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odeljenja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odseci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gradovima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opštinama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5C6A71" w:rsidRPr="005C6A71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izuzev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područnih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obrazuju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odseke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grupe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obrazovati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teritoriju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shodno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stopi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kriminaliteta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broju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stanovnika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blizini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granice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postojanju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infrastrukture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privrede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značaja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Srbiju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okolnostima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značaja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očuvanje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imovine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17.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stanice</w:t>
      </w:r>
      <w:r w:rsidR="005C6A71" w:rsidRPr="005C6A7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komandir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ispostave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5C6A71">
      <w:pPr>
        <w:spacing w:after="120"/>
        <w:jc w:val="center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VII. </w:t>
      </w:r>
      <w:r w:rsidR="00A917BD">
        <w:rPr>
          <w:rFonts w:ascii="Times New Roman" w:hAnsi="Times New Roman" w:cs="Times New Roman"/>
          <w:color w:val="000000"/>
        </w:rPr>
        <w:t>ZAVRŠNE</w:t>
      </w:r>
      <w:r w:rsidRPr="005C6A71">
        <w:rPr>
          <w:rFonts w:ascii="Times New Roman" w:hAnsi="Times New Roman" w:cs="Times New Roman"/>
          <w:color w:val="000000"/>
        </w:rPr>
        <w:t xml:space="preserve"> </w:t>
      </w:r>
      <w:r w:rsidR="00A917BD">
        <w:rPr>
          <w:rFonts w:ascii="Times New Roman" w:hAnsi="Times New Roman" w:cs="Times New Roman"/>
          <w:color w:val="000000"/>
        </w:rPr>
        <w:t>ODREDBE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18.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načelima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5C6A71" w:rsidRPr="005C6A71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5C6A71" w:rsidRPr="005C6A71">
        <w:rPr>
          <w:rFonts w:ascii="Times New Roman" w:hAnsi="Times New Roman" w:cs="Times New Roman"/>
          <w:color w:val="000000"/>
        </w:rPr>
        <w:t xml:space="preserve">. 8/06, 14/09 – </w:t>
      </w:r>
      <w:r>
        <w:rPr>
          <w:rFonts w:ascii="Times New Roman" w:hAnsi="Times New Roman" w:cs="Times New Roman"/>
          <w:color w:val="000000"/>
        </w:rPr>
        <w:t>US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119/13), </w:t>
      </w:r>
      <w:r>
        <w:rPr>
          <w:rFonts w:ascii="Times New Roman" w:hAnsi="Times New Roman" w:cs="Times New Roman"/>
          <w:color w:val="000000"/>
        </w:rPr>
        <w:t>izuzev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odredaba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5C6A71" w:rsidRPr="005C6A71">
        <w:rPr>
          <w:rFonts w:ascii="Times New Roman" w:hAnsi="Times New Roman" w:cs="Times New Roman"/>
          <w:color w:val="000000"/>
        </w:rPr>
        <w:t xml:space="preserve">. 12–23. </w:t>
      </w:r>
      <w:r>
        <w:rPr>
          <w:rFonts w:ascii="Times New Roman" w:hAnsi="Times New Roman" w:cs="Times New Roman"/>
          <w:color w:val="000000"/>
        </w:rPr>
        <w:t>te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uredbe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19.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Unutrašnje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uređenje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sistematizacija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Ministarstva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uskladiće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roku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90 </w:t>
      </w:r>
      <w:r>
        <w:rPr>
          <w:rFonts w:ascii="Times New Roman" w:hAnsi="Times New Roman" w:cs="Times New Roman"/>
          <w:color w:val="000000"/>
        </w:rPr>
        <w:t>dana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njenog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p w:rsidR="002D4C87" w:rsidRPr="005C6A71" w:rsidRDefault="00A917B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5C6A71" w:rsidRPr="005C6A71">
        <w:rPr>
          <w:rFonts w:ascii="Times New Roman" w:hAnsi="Times New Roman" w:cs="Times New Roman"/>
          <w:color w:val="000000"/>
        </w:rPr>
        <w:t xml:space="preserve"> 20.</w:t>
      </w:r>
    </w:p>
    <w:p w:rsidR="002D4C87" w:rsidRPr="005C6A71" w:rsidRDefault="00A917B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uredba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objavljivanja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5C6A71" w:rsidRPr="005C6A71">
        <w:rPr>
          <w:rFonts w:ascii="Times New Roman" w:hAnsi="Times New Roman" w:cs="Times New Roman"/>
          <w:color w:val="000000"/>
        </w:rPr>
        <w:t>”.</w:t>
      </w:r>
    </w:p>
    <w:p w:rsidR="002D4C87" w:rsidRPr="005C6A71" w:rsidRDefault="005C6A71">
      <w:pPr>
        <w:spacing w:after="150"/>
        <w:jc w:val="right"/>
        <w:rPr>
          <w:rFonts w:ascii="Times New Roman" w:hAnsi="Times New Roman" w:cs="Times New Roman"/>
        </w:rPr>
      </w:pPr>
      <w:r w:rsidRPr="005C6A71">
        <w:rPr>
          <w:rFonts w:ascii="Times New Roman" w:hAnsi="Times New Roman" w:cs="Times New Roman"/>
          <w:color w:val="000000"/>
        </w:rPr>
        <w:t xml:space="preserve">05 </w:t>
      </w:r>
      <w:r w:rsidR="00A917BD">
        <w:rPr>
          <w:rFonts w:ascii="Times New Roman" w:hAnsi="Times New Roman" w:cs="Times New Roman"/>
          <w:color w:val="000000"/>
        </w:rPr>
        <w:t>broj</w:t>
      </w:r>
      <w:r w:rsidRPr="005C6A71">
        <w:rPr>
          <w:rFonts w:ascii="Times New Roman" w:hAnsi="Times New Roman" w:cs="Times New Roman"/>
          <w:color w:val="000000"/>
        </w:rPr>
        <w:t xml:space="preserve"> 110-5520/2017</w:t>
      </w:r>
    </w:p>
    <w:p w:rsidR="002D4C87" w:rsidRPr="005C6A71" w:rsidRDefault="00A917BD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5C6A71" w:rsidRPr="005C6A71">
        <w:rPr>
          <w:rFonts w:ascii="Times New Roman" w:hAnsi="Times New Roman" w:cs="Times New Roman"/>
          <w:color w:val="000000"/>
        </w:rPr>
        <w:t xml:space="preserve">, 19. </w:t>
      </w:r>
      <w:r>
        <w:rPr>
          <w:rFonts w:ascii="Times New Roman" w:hAnsi="Times New Roman" w:cs="Times New Roman"/>
          <w:color w:val="000000"/>
        </w:rPr>
        <w:t>juna</w:t>
      </w:r>
      <w:r w:rsidR="005C6A71" w:rsidRPr="005C6A71">
        <w:rPr>
          <w:rFonts w:ascii="Times New Roman" w:hAnsi="Times New Roman" w:cs="Times New Roman"/>
          <w:color w:val="000000"/>
        </w:rPr>
        <w:t xml:space="preserve"> 2017. </w:t>
      </w:r>
      <w:r>
        <w:rPr>
          <w:rFonts w:ascii="Times New Roman" w:hAnsi="Times New Roman" w:cs="Times New Roman"/>
          <w:color w:val="000000"/>
        </w:rPr>
        <w:t>godine</w:t>
      </w:r>
    </w:p>
    <w:p w:rsidR="002D4C87" w:rsidRPr="005C6A71" w:rsidRDefault="00A917BD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Vlada</w:t>
      </w:r>
    </w:p>
    <w:p w:rsidR="002D4C87" w:rsidRPr="005C6A71" w:rsidRDefault="00A917BD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Prvi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potpredsednik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Vlade</w:t>
      </w:r>
      <w:r w:rsidR="005C6A71" w:rsidRPr="005C6A71">
        <w:rPr>
          <w:rFonts w:ascii="Times New Roman" w:hAnsi="Times New Roman" w:cs="Times New Roman"/>
          <w:color w:val="000000"/>
        </w:rPr>
        <w:t>,</w:t>
      </w:r>
    </w:p>
    <w:p w:rsidR="002D4C87" w:rsidRPr="005C6A71" w:rsidRDefault="00A917BD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Ivica</w:t>
      </w:r>
      <w:r w:rsidR="005C6A71" w:rsidRPr="005C6A71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Dačić</w:t>
      </w:r>
      <w:r w:rsidR="005C6A71" w:rsidRPr="005C6A71">
        <w:rPr>
          <w:rFonts w:ascii="Times New Roman" w:hAnsi="Times New Roman" w:cs="Times New Roman"/>
          <w:b/>
          <w:color w:val="000000"/>
        </w:rPr>
        <w:t>,</w:t>
      </w:r>
      <w:r w:rsidR="005C6A71" w:rsidRPr="005C6A7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5C6A71" w:rsidRPr="005C6A7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5C6A71" w:rsidRPr="005C6A71">
        <w:rPr>
          <w:rFonts w:ascii="Times New Roman" w:hAnsi="Times New Roman" w:cs="Times New Roman"/>
          <w:color w:val="000000"/>
        </w:rPr>
        <w:t>.</w:t>
      </w:r>
    </w:p>
    <w:sectPr w:rsidR="002D4C87" w:rsidRPr="005C6A71" w:rsidSect="002D4C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D4C87"/>
    <w:rsid w:val="002D4C87"/>
    <w:rsid w:val="005C6A71"/>
    <w:rsid w:val="005F41DA"/>
    <w:rsid w:val="00A917BD"/>
    <w:rsid w:val="00E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2D4C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2D4C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user</cp:lastModifiedBy>
  <cp:revision>3</cp:revision>
  <dcterms:created xsi:type="dcterms:W3CDTF">2017-07-11T08:06:00Z</dcterms:created>
  <dcterms:modified xsi:type="dcterms:W3CDTF">2017-07-13T10:14:00Z</dcterms:modified>
</cp:coreProperties>
</file>